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
        <w:rPr>
          <w:rFonts w:ascii="Times New Roman" w:hAnsi="Times New Roman" w:cs="Times New Roman"/>
          <w:sz w:val="32"/>
          <w:szCs w:val="32"/>
        </w:rPr>
        <w:t xml:space="preserve">Сводка предложений по итогам публичного обсуждения уведомления о подготовке нормативного правового акта «О внесении изменений в статью 16.2 Кодекса Российской Федерации об административных правонарушениях»</w:t>
      </w:r>
    </w:p>
    <w:p>
      <w:r>
        <w:rPr>
          <w:rFonts w:ascii="Times New Roman" w:hAnsi="Times New Roman" w:cs="Times New Roman"/>
          <w:sz w:val="22"/>
          <w:szCs w:val="22"/>
        </w:rPr>
        <w:t xml:space="preserve">ID проекта:</w:t>
      </w:r>
      <w:r>
        <w:t xml:space="preserve"> </w:t>
      </w:r>
      <w:r>
        <w:rPr>
          <w:rFonts w:ascii="Times New Roman" w:hAnsi="Times New Roman" w:cs="Times New Roman"/>
          <w:sz w:val="22"/>
          <w:szCs w:val="22"/>
          <w:b/>
        </w:rPr>
        <w:t xml:space="preserve">00/03-7702/09-13/18-6-4</w:t>
      </w:r>
    </w:p>
    <w:p>
      <w:r>
        <w:rPr>
          <w:rFonts w:ascii="Times New Roman" w:hAnsi="Times New Roman" w:cs="Times New Roman"/>
          <w:sz w:val="22"/>
          <w:szCs w:val="22"/>
        </w:rPr>
        <w:t xml:space="preserve">Ссылка на проект:</w:t>
      </w:r>
      <w:r>
        <w:t xml:space="preserve"> </w:t>
      </w:r>
      <w:hyperlink r:id="rId7" w:history="1">
        <w:r>
          <w:rPr>
            <w:color w:val="0000FF"/>
            <w:u w:val="single"/>
          </w:rPr>
          <w:t xml:space="preserve">http://regulation.gov.ru/project/7702.html?point=view_passport&amp;stage=1&amp;stage_id=3521</w:t>
        </w:r>
      </w:hyperlink>
    </w:p>
    <w:p>
      <w:r>
        <w:rPr>
          <w:rFonts w:ascii="Times New Roman" w:hAnsi="Times New Roman" w:cs="Times New Roman"/>
          <w:sz w:val="22"/>
          <w:szCs w:val="22"/>
        </w:rPr>
        <w:t xml:space="preserve">Дата проведения публичного обсуждения:</w:t>
      </w:r>
      <w:r>
        <w:t xml:space="preserve"> </w:t>
      </w:r>
      <w:r>
        <w:rPr>
          <w:rFonts w:ascii="Times New Roman" w:hAnsi="Times New Roman" w:cs="Times New Roman"/>
          <w:sz w:val="22"/>
          <w:szCs w:val="22"/>
          <w:b/>
        </w:rPr>
        <w:t xml:space="preserve">2013-09-30 - 2013-10-15</w:t>
      </w:r>
    </w:p>
    <w:p>
      <w:r>
        <w:rPr>
          <w:rFonts w:ascii="Times New Roman" w:hAnsi="Times New Roman" w:cs="Times New Roman"/>
          <w:sz w:val="22"/>
          <w:szCs w:val="22"/>
        </w:rPr>
        <w:t xml:space="preserve">Количество экспертов, участвовавших в обсуждении:</w:t>
      </w:r>
      <w:r>
        <w:t xml:space="preserve"> </w:t>
      </w:r>
      <w:r>
        <w:rPr>
          <w:rFonts w:ascii="Times New Roman" w:hAnsi="Times New Roman" w:cs="Times New Roman"/>
          <w:sz w:val="22"/>
          <w:szCs w:val="22"/>
          <w:b/>
        </w:rPr>
        <w:t xml:space="preserve">2</w:t>
      </w:r>
    </w:p>
    <w:p>
      <w:r>
        <w:rPr>
          <w:rFonts w:ascii="Times New Roman" w:hAnsi="Times New Roman" w:cs="Times New Roman"/>
          <w:sz w:val="22"/>
          <w:szCs w:val="22"/>
        </w:rPr>
        <w:t xml:space="preserve">Отчет сгенерирован:</w:t>
      </w:r>
      <w:r>
        <w:t xml:space="preserve"> </w:t>
      </w:r>
      <w:r>
        <w:rPr>
          <w:rFonts w:ascii="Times New Roman" w:hAnsi="Times New Roman" w:cs="Times New Roman"/>
          <w:sz w:val="22"/>
          <w:szCs w:val="22"/>
          <w:b/>
        </w:rPr>
        <w:t xml:space="preserve">06.11.2013 в 12:39</w:t>
      </w:r>
    </w:p>
    <w:tbl>
      <w:tblPr>
        <w:tblStyle w:val="table_body"/>
      </w:tblPr>
      <w:tr>
        <w:tc>
          <w:tcPr>
            <w:tcW w:w="50" w:type="dxa"/>
          </w:tcPr>
          <w:p>
            <w:pPr>
              <w:jc w:val="center"/>
            </w:pPr>
            <w:r>
              <w:rPr>
                <w:b/>
              </w:rPr>
              <w:t xml:space="preserve">№</w:t>
            </w:r>
          </w:p>
        </w:tc>
        <w:tc>
          <w:tcPr>
            <w:tcW w:w="1500" w:type="dxa"/>
          </w:tcPr>
          <w:p>
            <w:pPr>
              <w:jc w:val="center"/>
            </w:pPr>
            <w:r>
              <w:rPr>
                <w:b/>
              </w:rPr>
              <w:t xml:space="preserve">Участник обсуждения</w:t>
            </w:r>
          </w:p>
        </w:tc>
        <w:tc>
          <w:tcPr>
            <w:tcW w:w="2500" w:type="dxa"/>
          </w:tcPr>
          <w:p>
            <w:pPr>
              <w:jc w:val="center"/>
            </w:pPr>
            <w:r>
              <w:rPr>
                <w:b/>
              </w:rPr>
              <w:t xml:space="preserve">Вопрос для обсуждения</w:t>
            </w:r>
          </w:p>
        </w:tc>
        <w:tc>
          <w:tcPr>
            <w:tcW w:w="5000" w:type="dxa"/>
          </w:tcPr>
          <w:p>
            <w:pPr>
              <w:jc w:val="center"/>
            </w:pPr>
            <w:r>
              <w:rPr>
                <w:b/>
              </w:rPr>
              <w:t xml:space="preserve">Позиция участника обсуждения</w:t>
            </w:r>
          </w:p>
        </w:tc>
        <w:tc>
          <w:tcPr>
            <w:tcW w:w="1500" w:type="dxa"/>
          </w:tcPr>
          <w:p>
            <w:pPr>
              <w:jc w:val="center"/>
            </w:pPr>
            <w:r>
              <w:rPr>
                <w:b/>
              </w:rPr>
              <w:t xml:space="preserve">Результат рассмотрения позиции разработчиком позиций участников обсуждения</w:t>
            </w:r>
          </w:p>
        </w:tc>
        <w:tc>
          <w:tcPr>
            <w:tcW w:w="5000" w:type="dxa"/>
          </w:tcPr>
          <w:p>
            <w:pPr>
              <w:jc w:val="center"/>
            </w:pPr>
            <w:r>
              <w:rPr>
                <w:b/>
              </w:rPr>
              <w:t xml:space="preserve">Комментарии разработчика</w:t>
            </w:r>
          </w:p>
        </w:tc>
      </w:tr>
      <w:tr>
        <w:tc>
          <w:tcPr>
            <w:tcW w:w="50" w:type="dxa"/>
          </w:tcPr>
          <w:p>
            <w:pPr>
              <w:jc w:val="center"/>
            </w:pPr>
            <w:r>
              <w:t xml:space="preserve">1</w:t>
            </w:r>
          </w:p>
        </w:tc>
        <w:tc>
          <w:tcPr>
            <w:tcW w:w="1500" w:type="dxa"/>
          </w:tcPr>
          <w:p>
            <w:r>
              <w:t xml:space="preserve">Новиков Олег Юрьевич</w:t>
            </w:r>
          </w:p>
        </w:tc>
        <w:tc>
          <w:tcPr>
            <w:tcW w:w="2500" w:type="dxa"/>
          </w:tcPr>
          <w:p>
            <w:r>
              <w:t xml:space="preserve">На решение какой проблемы, на Ваш взгляд, направлен разрабатываемый проект нормативного правового акта? Актуальна ли данная проблема сегодня?</w:t>
            </w:r>
          </w:p>
        </w:tc>
        <w:tc>
          <w:tcPr>
            <w:tcW w:w="5000" w:type="dxa"/>
          </w:tcPr>
          <w:p>
            <w:r>
              <w:t xml:space="preserve">Проблема актуальна для крупных и средних производств, комплектующие которых поставляются в значительных объёмах.
Легализация обнаруженных несоответствий приводит к штрафам, то есть к наказанию добросовестных участников ВЭД.
Предложение по внесению в 
Статью 16.2. «Недекларирование либо недостоверное декларирование товаров»
следующего дополнения:
4. При самостоятельном обнаружении  декларантом или таможенным представителем в течение трёх месяцев с момента выпуска задекларированных товаров расхождения в сведениях об их наименовании, описании, количестве, классификационном коде по единой Товарной номенклатуре внешнеэкономической деятельности Таможенного союза, о стране происхождения, об их таможенной стоимости либо других сведений, если декларант или таможенный представитель добровольно заявляет об обнаруженном расхождении, освобождается от ответственности за административное правонарушение.
Решение об освобождении от ответственности за административное правонарушение принимается таможенным органом на основании следующих признаков добросовестности участника внешне-экономической деятельности:
•	Ведение внешнеэкономической деятельности не менее 1 года 
•	Объем импорта (экспорта) не менее 300 млн. рублей в год. 
</w:t>
            </w:r>
          </w:p>
        </w:tc>
        <w:tc>
          <w:tcPr>
            <w:tcW w:w="1500" w:type="dxa"/>
          </w:tcPr>
          <w:p>
            <w:r>
              <w:t xml:space="preserve">Не учтено</w:t>
            </w:r>
          </w:p>
        </w:tc>
        <w:tc>
          <w:tcPr>
            <w:tcW w:w="5000" w:type="dxa"/>
          </w:tcPr>
          <w:p>
            <w:r>
              <w:t xml:space="preserve">1. Предлагаемые условия (ведение ВЭД не менее одного года, объем импортно-экспортных операций не менее 300 млн. руб. в год) не соответствуют принципам равенства лиц перед законом, закрепленному в статье 1.4 Кодекса Российской Федерации об административных правонарушениях, а также равенства лиц при перемещении товаров через таможенную границу Таможенного союза, установленному в статье 150 Таможенного кодекса Таможенного союза (далее - ТК ТС).
Указанные нормы гарантируют равные права и обязанности, в том числе одинаковые условия освобождения от ответственности для субъектов, относящихся к одной категории ( декларант, таможенный представитель) вне зависимости от их финансового положения.
Предложения создают преимущественное право освобождения от ответственности только для определенной категории лиц и лишают такой возможности других субъектов, которые не соответстуют предложенным критериям.
2. Основание для освобождения от административной ответственности в виде ограничительного срока обнаружения лицами факта недостоверного декларирования товаров (3 месяца после выпуска товаров) лишает лицо возможности "добросовестно исправить ошибку" по истечении трех месяцев после выпуска товаров и не согласуется со статьей 99 ТК ТС, согласно которой таможенные органы проводят таможенный контроль после выпуска товаров в течение 3 (трех) лет со дня окончания нахождения товаров под таможенным контролем.
</w:t>
            </w:r>
          </w:p>
        </w:tc>
      </w:tr>
    </w:tbl>
    <w:sectPr>
      <w:headerReference w:type="default" r:id="rId8"/>
      <w:footerReference w:type="default" r:id="rId9"/>
      <w:pgSz w:w="16838" w:h="11906" w:orient="landscape"/>
      <w:pgMar w:top="600" w:right="600" w:bottom="600" w:left="6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r>
      <w:tc>
        <w:tcPr>
          <w:tcW w:w="14000" w:type="dxa"/>
        </w:tcPr>
        <w:p>
          <w:pPr>
            <w:jc w:val="left"/>
          </w:pPr>
          <w:r>
            <w:rPr>
              <w:rFonts w:ascii="Calibri" w:hAnsi="Calibri" w:cs="Calibri"/>
              <w:sz w:val="18"/>
              <w:szCs w:val="18"/>
            </w:rPr>
            <w:t xml:space="preserve">ID проекта: 00/03-7702/09-13/18-6-4 Отчет сгенерирован: 06.11.2013 в 12:39</w:t>
          </w:r>
        </w:p>
      </w:tc>
      <w:tc>
        <w:tcPr>
          <w:tcW w:w="2000" w:type="dxa"/>
        </w:tcPr>
        <w:p>
          <w:pPr>
            <w:jc w:val="right"/>
          </w:pPr>
          <w:r>
            <w:t xml:space="preserve">Страница:</w:t>
          </w: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Times New Roman" w:hAnsi="Times New Roman" w:cs="Times New Roman"/>
        <w:sz w:val="18"/>
        <w:szCs w:val="18"/>
      </w:rPr>
      <w:t xml:space="preserve">Единый портал для размещения информации о разработке федеральными органами исполнительной власти проектов нормативных правовых актов и результатов их публичных обсуждений</w:t>
    </w:r>
    <w:r>
      <w:t xml:space="preserve"> </w:t>
    </w:r>
    <w:r>
      <w:rPr>
        <w:rFonts w:ascii="Times New Roman" w:hAnsi="Times New Roman" w:cs="Times New Roman"/>
        <w:sz w:val="18"/>
        <w:szCs w:val="18"/>
        <w:b/>
      </w:rPr>
      <w:t xml:space="preserve">www.regulation.gov.ru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4">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6">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7A1304B4"/>
    <w:multiLevelType w:val="multilevel"/>
    <w:tmpl w:val="1E589F2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4"/>
  </w:num>
  <w:num w:numId="3">
    <w:abstractNumId w:val="3"/>
  </w:num>
  <w:num w:numId="4">
    <w:abstractNumId w:val="7"/>
  </w:num>
  <w:num w:numId="5">
    <w:abstractNumId w:val="5"/>
  </w:num>
  <w:num w:numId="6">
    <w:abstractNumId w:val="8"/>
  </w:num>
  <w:num w:numId="7">
    <w:abstractNumId w:val="1"/>
  </w:num>
  <w:num w:numId="8">
    <w:abstractNumId w:val="2"/>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table" w:customStyle="1" w:styleId="table_body">
    <w:name w:val="table_body"/>
    <w:uiPriority w:val="99"/>
    <w:tblPr>
      <w:tblCellMar>
        <w:top w:w="50" w:type="dxa"/>
        <w:left w:w="50" w:type="dxa"/>
        <w:right w:w="50" w:type="dxa"/>
        <w:bottom w:w="50" w:type="dxa"/>
      </w:tblCellMar>
      <w:tblBorders>
        <w:top w:val="single" w:sz="5" w:color=""/>
        <w:left w:val="single" w:sz="5" w:color=""/>
        <w:right w:val="single" w:sz="5" w:color=""/>
        <w:bottom w:val="single" w:sz="5" w:color=""/>
        <w:insideH w:val="single" w:sz="5" w:color=""/>
        <w:insideV w:val="single" w:sz="5" w:color=""/>
      </w:tblBorders>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numbering" Target="numbering.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webSettings" Target="webSettings.xml"/>
  <Relationship Id="rId6" Type="http://schemas.openxmlformats.org/officeDocument/2006/relationships/fontTable" Target="fontTable.xml"/>
  <Relationship Id="rId7" Type="http://schemas.openxmlformats.org/officeDocument/2006/relationships/hyperlink" Target="http://regulation.gov.ru/project/7702.html?point=view_passport&amp;stage=1&amp;stage_id=3521" TargetMode="External"/>
  <Relationship Id="rId8" Type="http://schemas.openxmlformats.org/officeDocument/2006/relationships/header" Target="header1.xml"/>
  <Relationship Id="rId9" Type="http://schemas.openxmlformats.org/officeDocument/2006/relationships/footer" Target="foot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Microsoft Office Word</Application>
  <ScaleCrop>false</ScaleCrop>
  <HeadingPairs>
    <vt:vector size="4" baseType="variant">
      <vt:variant>
        <vt:lpstr>Theme</vt:lpstr>
      </vt:variant>
      <vt:variant>
        <vt:i4>1</vt:i4>
      </vt:variant>
      <vt:variant>
        <vt:lpstr>Slide Titles</vt:lpstr>
      </vt:variant>
      <vt:variant>
        <vt:i4>1</vt:i4>
      </vt:variant>
    </vt:vector>
  </HeadingPairs>
  <TitlesOfParts>
    <vt:vector size="1" baseType="lpstr">
      <vt:lpstr>Office Theme</vt:lpstr>
    </vt:vector>
  </TitlesOfParts>
  <Company/>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2013-11-06T12:39:02+04:00</dcterms:created>
  <dcterms:modified xsi:type="dcterms:W3CDTF">2013-11-06T12:39:02+04:00</dcterms:modified>
  <dc:title/>
  <dc:description/>
  <dc:subject/>
  <cp:keywords/>
  <cp:category/>
</cp:coreProperties>
</file>