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порядке определения гарантийного объединения, которому предоставлено право выдавать книжки МДП и предоставлять гарантии в соответствии с положениями Таможенной конвенции о международной перевозке грузов с применением книжки МДП (Конвенция МДП, 1975)»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00/03-13431/03-14/18-13-3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http://regulation.gov.ru/project/13431.html?point=view_passport&amp;stage=1&amp;stage_id=5025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2014-03-24 - 2014-04-08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22.04.2014 в 14:37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  <w:tr>
        <w:tc>
          <w:tcPr>
            <w:tcW w:w="50" w:type="dxa"/>
          </w:tcPr>
          <w:p>
            <w:pPr>
              <w:jc w:val="center"/>
            </w:pPr>
            <w:r>
              <w:t xml:space="preserve">1</w:t>
            </w:r>
          </w:p>
        </w:tc>
        <w:tc>
          <w:tcPr>
            <w:tcW w:w="1500" w:type="dxa"/>
          </w:tcPr>
          <w:p>
            <w:r>
              <w:t xml:space="preserve">Борсукова Ольга Ивановна</w:t>
            </w:r>
          </w:p>
        </w:tc>
        <w:tc>
          <w:tcPr>
            <w:tcW w:w="2500" w:type="dxa"/>
          </w:tcPr>
          <w:p>
            <w:r>
              <w:t xml:space="preserve">На решение какой проблемы, на Ваш взгляд, направлен разрабатываемый проект нормативного правового акта? Актуальна ли данная проблема сегодня?</w:t>
            </w:r>
          </w:p>
        </w:tc>
        <w:tc>
          <w:tcPr>
            <w:tcW w:w="5000" w:type="dxa"/>
          </w:tcPr>
          <w:p>
            <w:r>
              <w:t xml:space="preserve">очень актуальна, потому что внутренним распоряжением ФТС ограничено действие международной системы</w:t>
            </w:r>
          </w:p>
        </w:tc>
        <w:tc>
          <w:tcPr>
            <w:tcW w:w="1500" w:type="dxa"/>
          </w:tcPr>
          <w:p>
            <w:r>
              <w:t xml:space="preserve">Учтено</w:t>
            </w:r>
          </w:p>
        </w:tc>
        <w:tc>
          <w:tcPr>
            <w:tcW w:w="5000" w:type="dxa"/>
          </w:tcPr>
          <w:p>
            <w:r>
              <w:t xml:space="preserve"/>
            </w:r>
          </w:p>
        </w:tc>
      </w:tr>
      <w:tr>
        <w:tc>
          <w:tcPr>
            <w:tcW w:w="50" w:type="dxa"/>
          </w:tcPr>
          <w:p>
            <w:pPr>
              <w:jc w:val="center"/>
            </w:pPr>
            <w:r>
              <w:t xml:space="preserve">2</w:t>
            </w:r>
          </w:p>
        </w:tc>
        <w:tc>
          <w:tcPr>
            <w:tcW w:w="1500" w:type="dxa"/>
          </w:tcPr>
          <w:p>
            <w:r>
              <w:t xml:space="preserve">Борсукова Ольга Ивановна</w:t>
            </w:r>
          </w:p>
        </w:tc>
        <w:tc>
          <w:tcPr>
            <w:tcW w:w="2500" w:type="dxa"/>
          </w:tcPr>
          <w:p>
            <w:r>
              <w:t xml:space="preserve">Насколько цель предлагаемого регулирования соотносится с проблемой, на решение которой оно направлено? В какой степени, на Ваш взгляд, принятие нормативного правового акта позволит достигнуть поставленной цели?</w:t>
            </w:r>
          </w:p>
        </w:tc>
        <w:tc>
          <w:tcPr>
            <w:tcW w:w="5000" w:type="dxa"/>
          </w:tcPr>
          <w:p>
            <w:r>
              <w:t xml:space="preserve">Позволит использовать систему МДП в свободном выборе правил оформления грузов</w:t>
            </w:r>
          </w:p>
        </w:tc>
        <w:tc>
          <w:tcPr>
            <w:tcW w:w="1500" w:type="dxa"/>
          </w:tcPr>
          <w:p>
            <w:r>
              <w:t xml:space="preserve">Учтено</w:t>
            </w:r>
          </w:p>
        </w:tc>
        <w:tc>
          <w:tcPr>
            <w:tcW w:w="5000" w:type="dxa"/>
          </w:tcPr>
          <w:p>
            <w:r>
              <w:t xml:space="preserve"/>
            </w:r>
          </w:p>
        </w:tc>
      </w:tr>
      <w:tr>
        <w:tc>
          <w:tcPr>
            <w:tcW w:w="50" w:type="dxa"/>
          </w:tcPr>
          <w:p>
            <w:pPr>
              <w:jc w:val="center"/>
            </w:pPr>
            <w:r>
              <w:t xml:space="preserve">3</w:t>
            </w:r>
          </w:p>
        </w:tc>
        <w:tc>
          <w:tcPr>
            <w:tcW w:w="1500" w:type="dxa"/>
          </w:tcPr>
          <w:p>
            <w:r>
              <w:t xml:space="preserve">Борсукова Ольга Ивановна</w:t>
            </w:r>
          </w:p>
        </w:tc>
        <w:tc>
          <w:tcPr>
            <w:tcW w:w="2500" w:type="dxa"/>
          </w:tcPr>
          <w:p>
            <w:r>
              <w:t xml:space="preserve">Является ли предлагаемое регулирование оптимальным способом решения проблемы? Существуют ли иные способы? Если да, укажите те из них, которые, по Вашему мнению, были бы менее затратны для участников общественных отношений и (или) более эффективны?</w:t>
            </w:r>
          </w:p>
        </w:tc>
        <w:tc>
          <w:tcPr>
            <w:tcW w:w="5000" w:type="dxa"/>
          </w:tcPr>
          <w:p>
            <w:r>
              <w:t xml:space="preserve">Существуют иные наиболее эффективные меры- это использовать уже имеющуюся и давно работающую систему МДП в России</w:t>
            </w:r>
          </w:p>
        </w:tc>
        <w:tc>
          <w:tcPr>
            <w:tcW w:w="1500" w:type="dxa"/>
          </w:tcPr>
          <w:p>
            <w:r>
              <w:t xml:space="preserve">Не учтено</w:t>
            </w:r>
          </w:p>
        </w:tc>
        <w:tc>
          <w:tcPr>
            <w:tcW w:w="5000" w:type="dxa"/>
          </w:tcPr>
          <w:p>
            <w:r>
              <w:t xml:space="preserve"/>
            </w:r>
          </w:p>
        </w:tc>
      </w:tr>
      <w:tr>
        <w:tc>
          <w:tcPr>
            <w:tcW w:w="50" w:type="dxa"/>
          </w:tcPr>
          <w:p>
            <w:pPr>
              <w:jc w:val="center"/>
            </w:pPr>
            <w:r>
              <w:t xml:space="preserve">4</w:t>
            </w:r>
          </w:p>
        </w:tc>
        <w:tc>
          <w:tcPr>
            <w:tcW w:w="1500" w:type="dxa"/>
          </w:tcPr>
          <w:p>
            <w:r>
              <w:t xml:space="preserve">Борсукова Ольга Ивановна</w:t>
            </w:r>
          </w:p>
        </w:tc>
        <w:tc>
          <w:tcPr>
            <w:tcW w:w="2500" w:type="dxa"/>
          </w:tcPr>
          <w:p>
            <w:r>
              <w:t xml:space="preserve">С какими рисками и негативными последствиями для ведения предпринимательской и инвестиционной деятельности, на Ваш взгляд, может быть связано принятие разрабатываемого проекта нормативного правового акта?</w:t>
            </w:r>
          </w:p>
        </w:tc>
        <w:tc>
          <w:tcPr>
            <w:tcW w:w="5000" w:type="dxa"/>
          </w:tcPr>
          <w:p>
            <w:r>
              <w:t xml:space="preserve"> дайте текст</w:t>
            </w:r>
          </w:p>
        </w:tc>
        <w:tc>
          <w:tcPr>
            <w:tcW w:w="1500" w:type="dxa"/>
          </w:tcPr>
          <w:p>
            <w:r>
              <w:t xml:space="preserve">Учтено</w:t>
            </w:r>
          </w:p>
        </w:tc>
        <w:tc>
          <w:tcPr>
            <w:tcW w:w="5000" w:type="dxa"/>
          </w:tcPr>
          <w:p>
            <w:r>
              <w:t xml:space="preserve"/>
            </w:r>
          </w:p>
        </w:tc>
      </w:tr>
      <w:tr>
        <w:tc>
          <w:tcPr>
            <w:tcW w:w="50" w:type="dxa"/>
          </w:tcPr>
          <w:p>
            <w:pPr>
              <w:jc w:val="center"/>
            </w:pPr>
            <w:r>
              <w:t xml:space="preserve">5</w:t>
            </w:r>
          </w:p>
        </w:tc>
        <w:tc>
          <w:tcPr>
            <w:tcW w:w="1500" w:type="dxa"/>
          </w:tcPr>
          <w:p>
            <w:r>
              <w:t xml:space="preserve">Борсукова Ольга Ивановна</w:t>
            </w:r>
          </w:p>
        </w:tc>
        <w:tc>
          <w:tcPr>
            <w:tcW w:w="2500" w:type="dxa"/>
          </w:tcPr>
          <w:p>
            <w:r>
              <w:t xml:space="preserve">Ваше общее мнение о данном проекте нормативного правового акта</w:t>
            </w:r>
          </w:p>
        </w:tc>
        <w:tc>
          <w:tcPr>
            <w:tcW w:w="5000" w:type="dxa"/>
          </w:tcPr>
          <w:p>
            <w:r>
              <w:t xml:space="preserve">текста нет трудно высказать мнение</w:t>
            </w:r>
          </w:p>
        </w:tc>
        <w:tc>
          <w:tcPr>
            <w:tcW w:w="1500" w:type="dxa"/>
          </w:tcPr>
          <w:p>
            <w:r>
              <w:t xml:space="preserve">Учтено</w:t>
            </w:r>
          </w:p>
        </w:tc>
        <w:tc>
          <w:tcPr>
            <w:tcW w:w="5000" w:type="dxa"/>
          </w:tcPr>
          <w:p>
            <w:r>
              <w:t xml:space="preserve"/>
            </w:r>
          </w:p>
        </w:tc>
      </w:tr>
      <w:tr>
        <w:tc>
          <w:tcPr>
            <w:tcW w:w="50" w:type="dxa"/>
          </w:tcPr>
          <w:p>
            <w:pPr>
              <w:jc w:val="center"/>
            </w:pPr>
            <w:r>
              <w:t xml:space="preserve">6</w:t>
            </w:r>
          </w:p>
        </w:tc>
        <w:tc>
          <w:tcPr>
            <w:tcW w:w="1500" w:type="dxa"/>
          </w:tcPr>
          <w:p>
            <w:r>
              <w:t xml:space="preserve">Российский союз промышленников</w:t>
            </w:r>
          </w:p>
        </w:tc>
        <w:tc>
          <w:tcPr>
            <w:tcW w:w="2500" w:type="dxa"/>
          </w:tcPr>
          <w:p>
            <w:r>
              <w:t xml:space="preserve">На решение какой проблемы, на Ваш взгляд, направлен разрабатываемый проект нормативного правового акта? Актуальна ли данная проблема сегодня?</w:t>
            </w:r>
          </w:p>
        </w:tc>
        <w:tc>
          <w:tcPr>
            <w:tcW w:w="5000" w:type="dxa"/>
          </w:tcPr>
          <w:p>
            <w:r>
              <w:t xml:space="preserve">Указанный нормативный правовой акт разрабатывается во исполнение поручения, данного Первым заместителем Председателя Правительства Российской Федерации И.И. Шуваловым (от 26.11.2013 № ИШ-П2-118пр) о разработке условий и требований для проведения открытых конкурсных процедур по определению национального гарантийного объединения в соответствии с положениями Конвенции МДП, 1975 г. и проведении конкурсных процедур.
В соответствии со статьей 6 Конвенции МДП разрешение национальному гарантийному объединению (НТО) выдавать книжки МДП и выступать гарантом выдает Договаривающаяся сторона, т.е. правительство государства, в связи с чем данный вопрос должен регулироваться нормативным правовым актом Правительства Российской Федерации.
Подготовка указанного нормативного правового акта должна исходить из стратегической цели безусловного обеспечения функционирования Конвенции МДП на территории Российской Федерации.
В целях реализации системного и объективного подхода к определению НГО в Российской Федерации по Конвенции МДП указанным нормативным правовым актом необходимо утвердить следующие документы (далее - конкурсная документация):
1)	условия и требования к лицам, желающим выполнять функцию НГО;
2)	критерии оценки соответствия лиц, желающих выполнять функцию НГО, условиям и требованиям;
3)	порядок проведения открытого конкурса по определению НГО;
4)	проект гарантийного соглашения между ФТС России и НГО.
1. Условия и требования.
Условия и требования, предъявляемые к участникам конкурса, являются наиболее существенным элементом при проведении конкурсных процедур.
Базовые условия и требования к НГО прямо определены положениями международного договора - Конвенцией МДП (часть I приложения 9). Это:
-	доказательства, подтверждающие факт существования в течение по крайней мере одного года в качестве объединения, зарегистрированного в Российской Федерации;
-	доказательства, подтверждающие устойчивое финансовое положение и наличие организационных возможностей для выполнения обязательств объединения по Конвенции;
-	отсутствие серьезных или неоднократных нарушений таможенных правил или налогового законодательства;
- заключение письменного соглашения или любого другого правового документа между объединением и компетентными органами Договаривающейся стороны, в которой оно учреждено, включая принятие объединением своих обязанностей.
Кроме этого, из положений статьи 6 Конвенции МДП непосредственно следует, что национальное гарантийное объединение должно быть членом международной организации, уполномоченной отвечать за эффективную организацию и функционирование международной системы гарантий (в настоящее время - МСАТ).
Целесообразно конкретизировать базовые условия и требования для возможности их практической оценки (например, в рамках формулировки «устойчивое финансовое положение и наличие организационных возможностей» целесообразно, в том числе, установить требования о минимально допустимой сумме основных средств, численности и квалификации персонала, наличии разветвленной сети представительств (специалистов) в регионах и пр.).
Таким образом, условия и требования должны быть единым документом, позволяющим комплексно определить возможность лица выступать в роли НГО.
2.	Критерии оценки.
Критерии оценки соответствия лиц условиям и требованиям являются более техническим элементом, чем сами условия и требования, однако от них напрямую зависит объективность отбора кандидатов.
Предлагаем установить балльную систему оценки каждого условия и требования, исходя из их значимости для выполнения функции НГО и с учетом интересов как государства (при выполнении НГО функции гаранта), так и перевозчиков (при выполнении НГО функции по выдаче книжек МДП).
Кроме этого, необходимо четко определить перечень документов, которыми будет подтверждаться соответствие условиям и требованиям.
3.	Порядок проведения.
Порядок проведения должен быть транспарентным и обеспечивать равные права всем участникам конкурса.
Для этого необходимо участие в составе конкурсной комиссии представителей всех заинтересованных федеральных органов исполнительной власти (Минтранса России, Минэкономразвития России, МИД России, Минфина России, ФТС России и ФАС России). Поскольку Конвенция МДП призвана обеспечивать баланс интересов государства и бизнеса, необходимо включение в состав комиссии общественных объединений, например, РСПП, ТПП РФ, а также МСАТ как международной организации, уполномоченной в соответствии со статьей 6.2-бис Конвенции МДП отвечать за эффективную организацию и функционирование международной системы гарантий, и членом которой должно быть НГО.
4. Соглашение.
Поскольку выигравшая конкурс организация будет обязана подписать гарантийное соглашение с ФТС России, полный текст проекта такого соглашения должен быть включен в состав конкурсной документации.
При этом положения соглашения должны строго соответствовать нормам Конвенции МДП (образец типового соглашения приведен в примере оптимальной практики 6.2 к Конвенции МДП) и не содержать избыточных требований.
Полагаем, что итоги определения НГО по результатам конкурса должны быть оформлены также актом Правительства Российской Федерации, поскольку в соответствии со статьей 6 Конвенции МДП разрешение выдавать книжки МДП и выступать гарантом выдает Договаривающаяся сторона, т.е. правительство государства.
Обращаем внимание, что, исходя из анализа положений законодательства, регулирующих вопросы организации и проведения конкурсов, конкурс по определению НГО в рамках Конвенции МДП с учетом его узконаправленной специфики более сходен по форме с конкурсом с ограниченным участием, чем с открытым конкурсом.
</w:t>
            </w:r>
          </w:p>
        </w:tc>
        <w:tc>
          <w:tcPr>
            <w:tcW w:w="1500" w:type="dxa"/>
          </w:tcPr>
          <w:p>
            <w:r>
              <w:t xml:space="preserve">Учтено с ограничениями</w:t>
            </w:r>
          </w:p>
        </w:tc>
        <w:tc>
          <w:tcPr>
            <w:tcW w:w="5000" w:type="dxa"/>
          </w:tcPr>
          <w:p>
            <w:r>
              <w:t xml:space="preserve"/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00/03-13431/03-14/18-13-3 Отчет сгенерирован: 22.04.2014 в 14:37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3431.html?point=view_passport&amp;stage=1&amp;stage_id=5025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2014-04-22T14:37:15+04:00</dcterms:created>
  <dcterms:modified xsi:type="dcterms:W3CDTF">2014-04-22T14:37:15+04:00</dcterms:modified>
  <dc:title/>
  <dc:description/>
  <dc:subject/>
  <cp:keywords/>
  <cp:category/>
</cp:coreProperties>
</file>